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EC7ED2" w14:textId="77777777" w:rsidR="004A589E" w:rsidRPr="00641FAD" w:rsidRDefault="00641FAD">
      <w:pPr>
        <w:rPr>
          <w:rFonts w:ascii="Times New Roman" w:hAnsi="Times New Roman" w:cs="Times New Roman"/>
          <w:noProof/>
          <w:sz w:val="36"/>
          <w:szCs w:val="36"/>
          <w:lang w:eastAsia="en-GB"/>
        </w:rPr>
      </w:pPr>
      <w:r w:rsidRPr="00641FAD">
        <w:rPr>
          <w:rFonts w:ascii="Times New Roman" w:hAnsi="Times New Roman" w:cs="Times New Roman"/>
          <w:noProof/>
          <w:sz w:val="36"/>
          <w:szCs w:val="36"/>
          <w:lang w:eastAsia="en-GB"/>
        </w:rPr>
        <w:t>Supplementary Material</w:t>
      </w:r>
    </w:p>
    <w:p w14:paraId="25CA39FF" w14:textId="77777777" w:rsidR="004A589E" w:rsidRDefault="004A589E">
      <w:pPr>
        <w:rPr>
          <w:noProof/>
          <w:lang w:eastAsia="en-GB"/>
        </w:rPr>
      </w:pPr>
    </w:p>
    <w:p w14:paraId="5A1FC134" w14:textId="77777777" w:rsidR="004A589E" w:rsidRDefault="004A589E">
      <w:pPr>
        <w:rPr>
          <w:noProof/>
          <w:lang w:eastAsia="en-GB"/>
        </w:rPr>
      </w:pPr>
    </w:p>
    <w:p w14:paraId="0F43D25E" w14:textId="7B71CE38" w:rsidR="00641FAD" w:rsidRDefault="00CF18D9" w:rsidP="00641FAD">
      <w:pPr>
        <w:keepNext/>
      </w:pPr>
      <w:r>
        <w:rPr>
          <w:noProof/>
          <w:lang w:eastAsia="en-GB"/>
        </w:rPr>
        <w:drawing>
          <wp:inline distT="0" distB="0" distL="0" distR="0" wp14:anchorId="58013766" wp14:editId="1C4C69B4">
            <wp:extent cx="5731510" cy="38131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B6D" w14:textId="15E7E4E5" w:rsidR="004A589E" w:rsidRDefault="00162E24" w:rsidP="004625B6">
      <w:pPr>
        <w:pStyle w:val="Caption"/>
        <w:spacing w:line="480" w:lineRule="auto"/>
        <w:jc w:val="both"/>
      </w:pP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S1</w:t>
      </w:r>
      <w:r w:rsidRPr="00213188">
        <w:rPr>
          <w:rFonts w:ascii="Times New Roman" w:hAnsi="Times New Roman" w:cs="Times New Roman"/>
          <w:b/>
          <w:color w:val="auto"/>
          <w:sz w:val="24"/>
          <w:szCs w:val="24"/>
        </w:rPr>
        <w:t xml:space="preserve">. </w:t>
      </w:r>
      <w:r w:rsidR="004625B6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Fluorescence based time-kill curves</w:t>
      </w: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.</w:t>
      </w:r>
      <w:r w:rsidR="004625B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="004625B6">
        <w:rPr>
          <w:rFonts w:ascii="Times New Roman" w:hAnsi="Times New Roman" w:cs="Times New Roman"/>
          <w:i w:val="0"/>
          <w:color w:val="auto"/>
          <w:sz w:val="24"/>
          <w:szCs w:val="24"/>
        </w:rPr>
        <w:t>Logarithmized</w:t>
      </w:r>
      <w:proofErr w:type="spellEnd"/>
      <w:r w:rsidR="004625B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fluorescence values </w:t>
      </w:r>
      <w:r w:rsidR="00E97257">
        <w:rPr>
          <w:rFonts w:ascii="Times New Roman" w:hAnsi="Times New Roman" w:cs="Times New Roman"/>
          <w:i w:val="0"/>
          <w:color w:val="auto"/>
          <w:sz w:val="24"/>
          <w:szCs w:val="24"/>
        </w:rPr>
        <w:t>are plotted against the time (h). Ten different dilutions of each antimicrobial, positive control (</w:t>
      </w:r>
      <w:proofErr w:type="spellStart"/>
      <w:proofErr w:type="gramStart"/>
      <w:r w:rsidR="00E97257">
        <w:rPr>
          <w:rFonts w:ascii="Times New Roman" w:hAnsi="Times New Roman" w:cs="Times New Roman"/>
          <w:i w:val="0"/>
          <w:color w:val="auto"/>
          <w:sz w:val="24"/>
          <w:szCs w:val="24"/>
        </w:rPr>
        <w:t>Inf</w:t>
      </w:r>
      <w:proofErr w:type="spellEnd"/>
      <w:proofErr w:type="gramEnd"/>
      <w:r w:rsidR="00E97257">
        <w:rPr>
          <w:rFonts w:ascii="Times New Roman" w:hAnsi="Times New Roman" w:cs="Times New Roman"/>
          <w:i w:val="0"/>
          <w:color w:val="auto"/>
          <w:sz w:val="24"/>
          <w:szCs w:val="24"/>
        </w:rPr>
        <w:t>) and negative control (</w:t>
      </w:r>
      <w:r w:rsidR="00747CD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conc. </w:t>
      </w:r>
      <w:r w:rsidR="00E97257">
        <w:rPr>
          <w:rFonts w:ascii="Times New Roman" w:hAnsi="Times New Roman" w:cs="Times New Roman"/>
          <w:i w:val="0"/>
          <w:color w:val="auto"/>
          <w:sz w:val="24"/>
          <w:szCs w:val="24"/>
        </w:rPr>
        <w:t>0) were tested on eight WHO reference panel strains.</w:t>
      </w:r>
      <w:r w:rsidR="00747CD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Start concentrations were calibrated to approximately 10</w:t>
      </w:r>
      <w:r w:rsidR="00747CDA">
        <w:rPr>
          <w:rFonts w:ascii="Times New Roman" w:hAnsi="Times New Roman" w:cs="Times New Roman"/>
          <w:i w:val="0"/>
          <w:color w:val="auto"/>
          <w:sz w:val="24"/>
          <w:szCs w:val="24"/>
          <w:vertAlign w:val="superscript"/>
        </w:rPr>
        <w:t xml:space="preserve">7 </w:t>
      </w:r>
      <w:r w:rsidR="00747CDA">
        <w:rPr>
          <w:rFonts w:ascii="Times New Roman" w:hAnsi="Times New Roman" w:cs="Times New Roman"/>
          <w:i w:val="0"/>
          <w:color w:val="auto"/>
          <w:sz w:val="24"/>
          <w:szCs w:val="24"/>
        </w:rPr>
        <w:t>CFU/ml which corresponds to a log fluorescence of 6.  From 0-3 hours negative controls without antimicrobial resulted in decreased bacterial numbers, at 6 hours all samples show increased fluorescence.</w:t>
      </w:r>
    </w:p>
    <w:p w14:paraId="5F28A944" w14:textId="77777777" w:rsidR="00641FAD" w:rsidRDefault="00641FAD">
      <w:pPr>
        <w:rPr>
          <w:noProof/>
          <w:lang w:eastAsia="en-GB"/>
        </w:rPr>
      </w:pPr>
    </w:p>
    <w:p w14:paraId="2BFB72B4" w14:textId="77777777" w:rsidR="00641FAD" w:rsidRDefault="00641FAD">
      <w:pPr>
        <w:rPr>
          <w:noProof/>
          <w:lang w:eastAsia="en-GB"/>
        </w:rPr>
      </w:pPr>
    </w:p>
    <w:p w14:paraId="686C34C3" w14:textId="77777777" w:rsidR="00641FAD" w:rsidRDefault="00641FAD">
      <w:pPr>
        <w:rPr>
          <w:noProof/>
          <w:lang w:eastAsia="en-GB"/>
        </w:rPr>
      </w:pPr>
    </w:p>
    <w:p w14:paraId="1A3100B9" w14:textId="54BD53ED" w:rsidR="004A589E" w:rsidRDefault="00C62A80">
      <w:r>
        <w:rPr>
          <w:noProof/>
          <w:lang w:eastAsia="en-GB"/>
        </w:rPr>
        <w:lastRenderedPageBreak/>
        <w:drawing>
          <wp:inline distT="0" distB="0" distL="0" distR="0" wp14:anchorId="7E49835C" wp14:editId="47EB25C7">
            <wp:extent cx="5731510" cy="37204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718D" w14:textId="33B89BB6" w:rsidR="00162E24" w:rsidRPr="00213188" w:rsidRDefault="00162E24" w:rsidP="00162E24">
      <w:pPr>
        <w:pStyle w:val="Caption"/>
        <w:spacing w:line="480" w:lineRule="auto"/>
        <w:jc w:val="both"/>
        <w:rPr>
          <w:noProof/>
          <w:color w:val="auto"/>
          <w:sz w:val="24"/>
          <w:szCs w:val="24"/>
          <w:lang w:eastAsia="en-GB"/>
        </w:rPr>
      </w:pP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S2</w:t>
      </w:r>
      <w:r w:rsidRPr="00213188">
        <w:rPr>
          <w:rFonts w:ascii="Times New Roman" w:hAnsi="Times New Roman" w:cs="Times New Roman"/>
          <w:b/>
          <w:color w:val="auto"/>
          <w:sz w:val="24"/>
          <w:szCs w:val="24"/>
        </w:rPr>
        <w:t xml:space="preserve">. </w:t>
      </w:r>
      <w:r w:rsidR="007B7623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Intra assay coefficient of variation</w:t>
      </w: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.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C62A80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To test the reproducibility of the </w:t>
      </w:r>
      <w:proofErr w:type="spellStart"/>
      <w:r w:rsidR="00C62A80">
        <w:rPr>
          <w:rFonts w:ascii="Times New Roman" w:hAnsi="Times New Roman" w:cs="Times New Roman"/>
          <w:i w:val="0"/>
          <w:color w:val="auto"/>
          <w:sz w:val="24"/>
          <w:szCs w:val="24"/>
        </w:rPr>
        <w:t>resazurin</w:t>
      </w:r>
      <w:proofErr w:type="spellEnd"/>
      <w:r w:rsidR="00C62A80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MIC assay eight antimicrobials were tested on eight WHO reference strains (n=64). 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The </w:t>
      </w:r>
      <w:r w:rsidR="00C62A80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mean and standard deviation of three independent experiments was calculated. </w:t>
      </w:r>
      <w:r w:rsidR="008B09F6">
        <w:rPr>
          <w:rFonts w:ascii="Times New Roman" w:hAnsi="Times New Roman" w:cs="Times New Roman"/>
          <w:i w:val="0"/>
          <w:color w:val="auto"/>
          <w:sz w:val="24"/>
          <w:szCs w:val="24"/>
        </w:rPr>
        <w:t>The coefficient of variation (ratio of standard deviation over the mean) was calculated for sample.</w:t>
      </w:r>
      <w:r w:rsidR="00C62A80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="008B09F6">
        <w:rPr>
          <w:rFonts w:ascii="Times New Roman" w:hAnsi="Times New Roman" w:cs="Times New Roman"/>
          <w:i w:val="0"/>
          <w:color w:val="auto"/>
          <w:sz w:val="24"/>
          <w:szCs w:val="24"/>
        </w:rPr>
        <w:t>Barplots</w:t>
      </w:r>
      <w:proofErr w:type="spellEnd"/>
      <w:r w:rsidR="008B09F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are shown for each sample. The mean of the coefficient of variation (intra assay CV) is 0.28. </w:t>
      </w:r>
    </w:p>
    <w:p w14:paraId="37121ED7" w14:textId="77777777" w:rsidR="00162E24" w:rsidRDefault="00162E24"/>
    <w:p w14:paraId="4D35F82B" w14:textId="77777777" w:rsidR="00641FAD" w:rsidRDefault="00641FAD"/>
    <w:p w14:paraId="2A7E7033" w14:textId="1E1D7EEF" w:rsidR="00162E24" w:rsidRDefault="003823BD" w:rsidP="00162E24">
      <w:pPr>
        <w:keepNext/>
      </w:pPr>
      <w:r>
        <w:rPr>
          <w:noProof/>
          <w:lang w:eastAsia="en-GB"/>
        </w:rPr>
        <w:lastRenderedPageBreak/>
        <w:drawing>
          <wp:inline distT="0" distB="0" distL="0" distR="0" wp14:anchorId="6C9B5F94" wp14:editId="1FAE98EB">
            <wp:extent cx="5591567" cy="3383287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1567" cy="338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218E" w14:textId="1CD57996" w:rsidR="00162E24" w:rsidRDefault="00162E24" w:rsidP="00162E24">
      <w:pPr>
        <w:pStyle w:val="Caption"/>
        <w:spacing w:line="480" w:lineRule="auto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S3</w:t>
      </w:r>
      <w:r w:rsidRPr="00213188">
        <w:rPr>
          <w:rFonts w:ascii="Times New Roman" w:hAnsi="Times New Roman" w:cs="Times New Roman"/>
          <w:b/>
          <w:color w:val="auto"/>
          <w:sz w:val="24"/>
          <w:szCs w:val="24"/>
        </w:rPr>
        <w:t xml:space="preserve">. </w:t>
      </w: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Difference of Hill coefficients.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Pr="0021318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>(A)</w:t>
      </w:r>
      <w:r w:rsidRPr="0021318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>The difference between the mean of 124 Hill coefficients (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124 clinical strains examined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)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is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shown for each antimicrobial combination. High values are shown in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an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increasing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ly intense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blue colour gradient and low values in red. A pairwise t-test was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performed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and non-significant differences (p value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&gt;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0.05) marked with a black cross. (B) Hierarchical clustering of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H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ill coefficients. Rows represent Hill coefficients for different strains (N=124) and columns antimicrobials. </w:t>
      </w:r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The β</w:t>
      </w:r>
      <w:r w:rsidR="008F25A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-lactams penicillin G, ceftriaxone and </w:t>
      </w:r>
      <w:proofErr w:type="spellStart"/>
      <w:r w:rsidR="008F25A6">
        <w:rPr>
          <w:rFonts w:ascii="Times New Roman" w:hAnsi="Times New Roman" w:cs="Times New Roman"/>
          <w:i w:val="0"/>
          <w:color w:val="auto"/>
          <w:sz w:val="24"/>
          <w:szCs w:val="24"/>
        </w:rPr>
        <w:t>cefixime</w:t>
      </w:r>
      <w:proofErr w:type="spellEnd"/>
      <w:r w:rsidR="008F25A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are more similar to each other than</w:t>
      </w:r>
      <w:r w:rsidR="00CA0B29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to</w:t>
      </w:r>
      <w:r w:rsidR="008F25A6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the other antimicrobials.</w:t>
      </w:r>
    </w:p>
    <w:p w14:paraId="20C8BC82" w14:textId="77777777" w:rsidR="00EE71E4" w:rsidRDefault="00EE71E4" w:rsidP="00EE71E4"/>
    <w:p w14:paraId="74419876" w14:textId="43403117" w:rsidR="00EE71E4" w:rsidRPr="00EE71E4" w:rsidRDefault="00CA0B29" w:rsidP="00CA0B29">
      <w:pPr>
        <w:jc w:val="center"/>
      </w:pPr>
      <w:r>
        <w:rPr>
          <w:noProof/>
          <w:lang w:eastAsia="en-GB"/>
        </w:rPr>
        <w:t>p</w:t>
      </w:r>
      <w:r>
        <w:rPr>
          <w:noProof/>
          <w:lang w:eastAsia="en-GB"/>
        </w:rPr>
        <w:drawing>
          <wp:inline distT="0" distB="0" distL="0" distR="0" wp14:anchorId="63AC9C4C" wp14:editId="26D13738">
            <wp:extent cx="5367600" cy="22860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7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CC46" w14:textId="4BE31617" w:rsidR="00D141ED" w:rsidRDefault="0020608C" w:rsidP="00142A0A">
      <w:pPr>
        <w:pStyle w:val="Caption"/>
        <w:spacing w:line="480" w:lineRule="auto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lastRenderedPageBreak/>
        <w:t xml:space="preserve">Figure </w:t>
      </w:r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S3</w:t>
      </w:r>
      <w:r w:rsidRPr="00213188">
        <w:rPr>
          <w:rFonts w:ascii="Times New Roman" w:hAnsi="Times New Roman" w:cs="Times New Roman"/>
          <w:b/>
          <w:color w:val="auto"/>
          <w:sz w:val="24"/>
          <w:szCs w:val="24"/>
        </w:rPr>
        <w:t xml:space="preserve">. </w:t>
      </w:r>
      <w:r w:rsidR="007B7623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Biphasic dose response curves</w:t>
      </w:r>
      <w:r w:rsidRPr="00213188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.</w:t>
      </w:r>
      <w:r w:rsidRPr="00213188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Pr="0021318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6D21A9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The viability (%) </w:t>
      </w:r>
      <w:r w:rsidR="00142A0A">
        <w:rPr>
          <w:rFonts w:ascii="Times New Roman" w:hAnsi="Times New Roman" w:cs="Times New Roman"/>
          <w:i w:val="0"/>
          <w:color w:val="auto"/>
          <w:sz w:val="24"/>
          <w:szCs w:val="24"/>
        </w:rPr>
        <w:t>was plotted against</w:t>
      </w:r>
      <w:r w:rsidR="006D21A9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142A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24 different antimicrobial concentrations. Mean and standard error of three independent experiments are shown. </w:t>
      </w:r>
      <w:r w:rsidR="00A16B84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(a) Ceftriaxone in Strain 11 (validation data). </w:t>
      </w:r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A biphasic model (red curve) fits the model better 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bic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=563) than a monophasic model 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bic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=794)</w:t>
      </w:r>
      <w:r w:rsidR="00D141ED">
        <w:rPr>
          <w:rFonts w:ascii="Times New Roman" w:hAnsi="Times New Roman" w:cs="Times New Roman"/>
          <w:i w:val="0"/>
          <w:color w:val="auto"/>
          <w:sz w:val="24"/>
          <w:szCs w:val="24"/>
        </w:rPr>
        <w:t>.</w:t>
      </w:r>
      <w:r w:rsidR="00D141ED">
        <w:rPr>
          <w:rFonts w:ascii="Times New Roman" w:hAnsi="Times New Roman" w:cs="Times New Roman"/>
          <w:i w:val="0"/>
          <w:color w:val="auto"/>
          <w:sz w:val="24"/>
          <w:szCs w:val="24"/>
          <w:vertAlign w:val="superscript"/>
        </w:rPr>
        <w:t>1</w:t>
      </w:r>
      <w:r w:rsidR="00D141ED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gram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The</w:t>
      </w:r>
      <w:proofErr w:type="gram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first </w:t>
      </w:r>
      <w:r w:rsidR="00B170CB" w:rsidRPr="00D141ED">
        <w:rPr>
          <w:rFonts w:ascii="Times New Roman" w:hAnsi="Times New Roman" w:cs="Times New Roman"/>
          <w:color w:val="auto"/>
          <w:sz w:val="24"/>
          <w:szCs w:val="24"/>
        </w:rPr>
        <w:t>EC</w:t>
      </w:r>
      <w:r w:rsidR="00B170CB" w:rsidRPr="00D141ED">
        <w:rPr>
          <w:rFonts w:ascii="Times New Roman" w:hAnsi="Times New Roman" w:cs="Times New Roman"/>
          <w:color w:val="auto"/>
          <w:sz w:val="24"/>
          <w:szCs w:val="24"/>
          <w:vertAlign w:val="subscript"/>
        </w:rPr>
        <w:t>50</w:t>
      </w:r>
      <w:r w:rsidR="00B170CB" w:rsidRPr="00142A0A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 </w:t>
      </w:r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is at 0.12 mg/L and the second at 1.21 mg/L 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Etest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MIC=0.125 mg/L).  </w:t>
      </w:r>
      <w:r w:rsidR="000E349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142A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(b) </w:t>
      </w:r>
      <w:proofErr w:type="spellStart"/>
      <w:r w:rsidR="00142A0A">
        <w:rPr>
          <w:rFonts w:ascii="Times New Roman" w:hAnsi="Times New Roman" w:cs="Times New Roman"/>
          <w:i w:val="0"/>
          <w:color w:val="auto"/>
          <w:sz w:val="24"/>
          <w:szCs w:val="24"/>
        </w:rPr>
        <w:t>Cefixime</w:t>
      </w:r>
      <w:proofErr w:type="spellEnd"/>
      <w:r w:rsidR="00142A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in Strain 11 (validation data).</w:t>
      </w:r>
      <w:r w:rsidR="000E3493" w:rsidRPr="000E3493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A biphasic model (red curve) fits the model better 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bic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=850) than a monophasic model </w:t>
      </w:r>
      <w:bookmarkStart w:id="0" w:name="_GoBack"/>
      <w:bookmarkEnd w:id="0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bic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=8574). The first </w:t>
      </w:r>
      <w:r w:rsidR="00B170CB" w:rsidRPr="00CA7715">
        <w:rPr>
          <w:rFonts w:ascii="Times New Roman" w:hAnsi="Times New Roman" w:cs="Times New Roman"/>
          <w:color w:val="auto"/>
          <w:sz w:val="24"/>
          <w:szCs w:val="24"/>
        </w:rPr>
        <w:t>EC</w:t>
      </w:r>
      <w:r w:rsidR="00B170CB" w:rsidRPr="00CA7715">
        <w:rPr>
          <w:rFonts w:ascii="Times New Roman" w:hAnsi="Times New Roman" w:cs="Times New Roman"/>
          <w:color w:val="auto"/>
          <w:sz w:val="24"/>
          <w:szCs w:val="24"/>
          <w:vertAlign w:val="subscript"/>
        </w:rPr>
        <w:t>50</w:t>
      </w:r>
      <w:r w:rsidR="00B170CB" w:rsidRPr="00142A0A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 </w:t>
      </w:r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is at 0.16 mg/L and the second at 1.39 mg/L (</w:t>
      </w:r>
      <w:proofErr w:type="spellStart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>Etest</w:t>
      </w:r>
      <w:proofErr w:type="spellEnd"/>
      <w:r w:rsidR="00B170CB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MIC=0.25 mg/L). </w:t>
      </w:r>
    </w:p>
    <w:p w14:paraId="6F5E9AA8" w14:textId="77777777" w:rsidR="00D141ED" w:rsidRDefault="00D141ED" w:rsidP="00142A0A">
      <w:pPr>
        <w:pStyle w:val="Caption"/>
        <w:spacing w:line="480" w:lineRule="auto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</w:p>
    <w:p w14:paraId="2BC511AA" w14:textId="1B601831" w:rsidR="00142A0A" w:rsidRPr="00D141ED" w:rsidRDefault="00D141ED" w:rsidP="00D141ED">
      <w:pPr>
        <w:pStyle w:val="Caption"/>
        <w:spacing w:line="480" w:lineRule="auto"/>
        <w:jc w:val="both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D141ED">
        <w:rPr>
          <w:rFonts w:ascii="Times New Roman" w:hAnsi="Times New Roman" w:cs="Times New Roman"/>
          <w:i w:val="0"/>
          <w:color w:val="auto"/>
          <w:sz w:val="24"/>
          <w:szCs w:val="24"/>
        </w:rPr>
        <w:t>References</w:t>
      </w:r>
      <w:r w:rsidR="00B170CB" w:rsidRPr="00D141ED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</w:p>
    <w:p w14:paraId="07603BDA" w14:textId="77777777" w:rsidR="00D141ED" w:rsidRPr="00D141ED" w:rsidRDefault="00D141ED" w:rsidP="00D141ED">
      <w:pPr>
        <w:pStyle w:val="Bibliography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41ED">
        <w:rPr>
          <w:rFonts w:ascii="Times New Roman" w:hAnsi="Times New Roman" w:cs="Times New Roman"/>
          <w:sz w:val="24"/>
          <w:szCs w:val="24"/>
        </w:rPr>
        <w:fldChar w:fldCharType="begin"/>
      </w:r>
      <w:r w:rsidRPr="00D141ED">
        <w:rPr>
          <w:rFonts w:ascii="Times New Roman" w:hAnsi="Times New Roman" w:cs="Times New Roman"/>
          <w:sz w:val="24"/>
          <w:szCs w:val="24"/>
        </w:rPr>
        <w:instrText xml:space="preserve"> ADDIN ZOTERO_BIBL {"custom":[]} CSL_BIBLIOGRAPHY </w:instrText>
      </w:r>
      <w:r w:rsidRPr="00D141ED">
        <w:rPr>
          <w:rFonts w:ascii="Times New Roman" w:hAnsi="Times New Roman" w:cs="Times New Roman"/>
          <w:sz w:val="24"/>
          <w:szCs w:val="24"/>
        </w:rPr>
        <w:fldChar w:fldCharType="separate"/>
      </w:r>
      <w:r w:rsidRPr="00D141ED">
        <w:rPr>
          <w:rFonts w:ascii="Times New Roman" w:hAnsi="Times New Roman" w:cs="Times New Roman"/>
          <w:sz w:val="24"/>
          <w:szCs w:val="24"/>
        </w:rPr>
        <w:t xml:space="preserve">1. Di </w:t>
      </w:r>
      <w:proofErr w:type="spellStart"/>
      <w:r w:rsidRPr="00D141ED">
        <w:rPr>
          <w:rFonts w:ascii="Times New Roman" w:hAnsi="Times New Roman" w:cs="Times New Roman"/>
          <w:sz w:val="24"/>
          <w:szCs w:val="24"/>
        </w:rPr>
        <w:t>Veroli</w:t>
      </w:r>
      <w:proofErr w:type="spellEnd"/>
      <w:r w:rsidRPr="00D141ED">
        <w:rPr>
          <w:rFonts w:ascii="Times New Roman" w:hAnsi="Times New Roman" w:cs="Times New Roman"/>
          <w:sz w:val="24"/>
          <w:szCs w:val="24"/>
        </w:rPr>
        <w:t xml:space="preserve"> GY, </w:t>
      </w:r>
      <w:proofErr w:type="spellStart"/>
      <w:r w:rsidRPr="00D141ED">
        <w:rPr>
          <w:rFonts w:ascii="Times New Roman" w:hAnsi="Times New Roman" w:cs="Times New Roman"/>
          <w:sz w:val="24"/>
          <w:szCs w:val="24"/>
        </w:rPr>
        <w:t>Fornari</w:t>
      </w:r>
      <w:proofErr w:type="spellEnd"/>
      <w:r w:rsidRPr="00D141ED">
        <w:rPr>
          <w:rFonts w:ascii="Times New Roman" w:hAnsi="Times New Roman" w:cs="Times New Roman"/>
          <w:sz w:val="24"/>
          <w:szCs w:val="24"/>
        </w:rPr>
        <w:t xml:space="preserve"> C, </w:t>
      </w:r>
      <w:proofErr w:type="spellStart"/>
      <w:r w:rsidRPr="00D141ED">
        <w:rPr>
          <w:rFonts w:ascii="Times New Roman" w:hAnsi="Times New Roman" w:cs="Times New Roman"/>
          <w:sz w:val="24"/>
          <w:szCs w:val="24"/>
        </w:rPr>
        <w:t>Goldlust</w:t>
      </w:r>
      <w:proofErr w:type="spellEnd"/>
      <w:r w:rsidRPr="00D141ED">
        <w:rPr>
          <w:rFonts w:ascii="Times New Roman" w:hAnsi="Times New Roman" w:cs="Times New Roman"/>
          <w:sz w:val="24"/>
          <w:szCs w:val="24"/>
        </w:rPr>
        <w:t xml:space="preserve"> I, </w:t>
      </w:r>
      <w:r w:rsidRPr="00D141ED">
        <w:rPr>
          <w:rFonts w:ascii="Times New Roman" w:hAnsi="Times New Roman" w:cs="Times New Roman"/>
          <w:i/>
          <w:iCs/>
          <w:sz w:val="24"/>
          <w:szCs w:val="24"/>
        </w:rPr>
        <w:t>et al.</w:t>
      </w:r>
      <w:r w:rsidRPr="00D141ED">
        <w:rPr>
          <w:rFonts w:ascii="Times New Roman" w:hAnsi="Times New Roman" w:cs="Times New Roman"/>
          <w:sz w:val="24"/>
          <w:szCs w:val="24"/>
        </w:rPr>
        <w:t xml:space="preserve"> An automated fitting procedure and software for dose-response curves with multiphasic features. </w:t>
      </w:r>
      <w:proofErr w:type="spellStart"/>
      <w:r w:rsidRPr="00D141ED">
        <w:rPr>
          <w:rFonts w:ascii="Times New Roman" w:hAnsi="Times New Roman" w:cs="Times New Roman"/>
          <w:i/>
          <w:iCs/>
          <w:sz w:val="24"/>
          <w:szCs w:val="24"/>
        </w:rPr>
        <w:t>Sci</w:t>
      </w:r>
      <w:proofErr w:type="spellEnd"/>
      <w:r w:rsidRPr="00D141ED">
        <w:rPr>
          <w:rFonts w:ascii="Times New Roman" w:hAnsi="Times New Roman" w:cs="Times New Roman"/>
          <w:i/>
          <w:iCs/>
          <w:sz w:val="24"/>
          <w:szCs w:val="24"/>
        </w:rPr>
        <w:t xml:space="preserve"> Rep</w:t>
      </w:r>
      <w:r w:rsidRPr="00D141ED">
        <w:rPr>
          <w:rFonts w:ascii="Times New Roman" w:hAnsi="Times New Roman" w:cs="Times New Roman"/>
          <w:sz w:val="24"/>
          <w:szCs w:val="24"/>
        </w:rPr>
        <w:t xml:space="preserve"> 2015; </w:t>
      </w:r>
      <w:r w:rsidRPr="00D141ED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141ED">
        <w:rPr>
          <w:rFonts w:ascii="Times New Roman" w:hAnsi="Times New Roman" w:cs="Times New Roman"/>
          <w:sz w:val="24"/>
          <w:szCs w:val="24"/>
        </w:rPr>
        <w:t>: 14701.</w:t>
      </w:r>
    </w:p>
    <w:p w14:paraId="3C690A1F" w14:textId="1065A029" w:rsidR="00D141ED" w:rsidRPr="00D141ED" w:rsidRDefault="00D141ED" w:rsidP="00D141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141ED">
        <w:rPr>
          <w:rFonts w:ascii="Times New Roman" w:hAnsi="Times New Roman" w:cs="Times New Roman"/>
          <w:sz w:val="24"/>
          <w:szCs w:val="24"/>
        </w:rPr>
        <w:fldChar w:fldCharType="end"/>
      </w:r>
    </w:p>
    <w:p w14:paraId="35EE783D" w14:textId="77777777" w:rsidR="000E3493" w:rsidRPr="000E3493" w:rsidRDefault="000E3493" w:rsidP="000E3493"/>
    <w:p w14:paraId="404B13EF" w14:textId="631EB2FA" w:rsidR="00641FAD" w:rsidRPr="0020608C" w:rsidRDefault="00641FAD" w:rsidP="00142A0A">
      <w:pPr>
        <w:pStyle w:val="Caption"/>
        <w:spacing w:line="480" w:lineRule="auto"/>
        <w:jc w:val="both"/>
        <w:rPr>
          <w:i w:val="0"/>
        </w:rPr>
      </w:pPr>
    </w:p>
    <w:sectPr w:rsidR="00641FAD" w:rsidRPr="002060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907FC"/>
    <w:multiLevelType w:val="hybridMultilevel"/>
    <w:tmpl w:val="E3A25256"/>
    <w:lvl w:ilvl="0" w:tplc="041D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F9D"/>
    <w:rsid w:val="000A49E8"/>
    <w:rsid w:val="000E3493"/>
    <w:rsid w:val="00142A0A"/>
    <w:rsid w:val="00162E24"/>
    <w:rsid w:val="0020608C"/>
    <w:rsid w:val="002C04EF"/>
    <w:rsid w:val="003823BD"/>
    <w:rsid w:val="003B0A47"/>
    <w:rsid w:val="003D0134"/>
    <w:rsid w:val="00443471"/>
    <w:rsid w:val="004625B6"/>
    <w:rsid w:val="004A589E"/>
    <w:rsid w:val="00641FAD"/>
    <w:rsid w:val="006D21A9"/>
    <w:rsid w:val="00745059"/>
    <w:rsid w:val="00747CDA"/>
    <w:rsid w:val="007B7623"/>
    <w:rsid w:val="007F2571"/>
    <w:rsid w:val="008B09F6"/>
    <w:rsid w:val="008F25A6"/>
    <w:rsid w:val="00A16B84"/>
    <w:rsid w:val="00A67BEA"/>
    <w:rsid w:val="00B05F9D"/>
    <w:rsid w:val="00B170CB"/>
    <w:rsid w:val="00B737E6"/>
    <w:rsid w:val="00C62A80"/>
    <w:rsid w:val="00CA0B29"/>
    <w:rsid w:val="00CA7715"/>
    <w:rsid w:val="00CF18D9"/>
    <w:rsid w:val="00D141ED"/>
    <w:rsid w:val="00E0260B"/>
    <w:rsid w:val="00E97257"/>
    <w:rsid w:val="00EE7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D2DE3"/>
  <w15:chartTrackingRefBased/>
  <w15:docId w15:val="{964BE8E8-9587-4B50-B197-903656159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41FA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62E2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2E2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2E24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2E2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2E24"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141ED"/>
    <w:pPr>
      <w:spacing w:after="24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71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BC3F2B-95B8-4792-9963-5B8A0FFBF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4</Pages>
  <Words>381</Words>
  <Characters>2173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sunny</dc:creator>
  <cp:keywords/>
  <dc:description/>
  <cp:lastModifiedBy>sunny</cp:lastModifiedBy>
  <cp:revision>10</cp:revision>
  <cp:lastPrinted>2016-12-17T22:34:00Z</cp:lastPrinted>
  <dcterms:created xsi:type="dcterms:W3CDTF">2016-12-12T12:09:00Z</dcterms:created>
  <dcterms:modified xsi:type="dcterms:W3CDTF">2016-12-19T13:58:00Z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zotero-version="4.0.29.10"&gt;&lt;session id="TpiJgU3R"/&gt;&lt;style id="http://www.zotero.org/styles/journal-of-antimicrobial-chemotherapy" hasBibliography="1" bibliographyStyleHasBeenSet="1"/&gt;&lt;prefs&gt;&lt;pref name="fieldType" value="Field"/&gt;&lt;pre</vt:lpwstr>
  </property>
  <property fmtid="{D5CDD505-2E9C-101B-9397-08002B2CF9AE}" pid="3" name="ZOTERO_PREF_2">
    <vt:lpwstr>f name="storeReferences" value="true"/&gt;&lt;pref name="automaticJournalAbbreviations" value="true"/&gt;&lt;pref name="noteType" value=""/&gt;&lt;/prefs&gt;&lt;/data&gt;</vt:lpwstr>
  </property>
</Properties>
</file>